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A4" w:rsidRPr="00A10509" w:rsidRDefault="000B7EA4">
      <w:pPr>
        <w:rPr>
          <w:rFonts w:ascii="Times New Roman" w:hAnsi="Times New Roman" w:cs="Times New Roman"/>
          <w:b/>
          <w:sz w:val="24"/>
          <w:szCs w:val="24"/>
          <w:lang w:val="ro-RO"/>
        </w:rPr>
      </w:pPr>
    </w:p>
    <w:tbl>
      <w:tblPr>
        <w:tblStyle w:val="TableGrid"/>
        <w:tblW w:w="0" w:type="auto"/>
        <w:tblLook w:val="04A0" w:firstRow="1" w:lastRow="0" w:firstColumn="1" w:lastColumn="0" w:noHBand="0" w:noVBand="1"/>
      </w:tblPr>
      <w:tblGrid>
        <w:gridCol w:w="2405"/>
        <w:gridCol w:w="6940"/>
      </w:tblGrid>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Denumirea disciplinei</w:t>
            </w:r>
          </w:p>
        </w:tc>
        <w:tc>
          <w:tcPr>
            <w:tcW w:w="6940" w:type="dxa"/>
          </w:tcPr>
          <w:p w:rsidR="000B7EA4" w:rsidRPr="00A10509" w:rsidRDefault="0055200C"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Biofizica</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Tipul </w:t>
            </w: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Obligator</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Anul de studii</w:t>
            </w:r>
          </w:p>
        </w:tc>
        <w:tc>
          <w:tcPr>
            <w:tcW w:w="6940" w:type="dxa"/>
          </w:tcPr>
          <w:p w:rsidR="000B7EA4" w:rsidRPr="00A10509" w:rsidRDefault="0055200C" w:rsidP="000B7EA4">
            <w:pPr>
              <w:rPr>
                <w:rFonts w:ascii="Times New Roman" w:hAnsi="Times New Roman" w:cs="Times New Roman"/>
                <w:sz w:val="24"/>
                <w:szCs w:val="24"/>
                <w:lang w:val="ro-RO"/>
              </w:rPr>
            </w:pPr>
            <w:r w:rsidRPr="00A10509">
              <w:rPr>
                <w:rFonts w:ascii="Times New Roman" w:hAnsi="Times New Roman" w:cs="Times New Roman"/>
                <w:sz w:val="24"/>
                <w:szCs w:val="24"/>
                <w:lang w:val="ro-RO"/>
              </w:rPr>
              <w:t>I</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Componenta</w:t>
            </w:r>
          </w:p>
        </w:tc>
        <w:tc>
          <w:tcPr>
            <w:tcW w:w="6940" w:type="dxa"/>
          </w:tcPr>
          <w:p w:rsidR="000B7EA4" w:rsidRPr="00A10509" w:rsidRDefault="007041C3" w:rsidP="00D67F6D">
            <w:pPr>
              <w:rPr>
                <w:rFonts w:ascii="Times New Roman" w:hAnsi="Times New Roman" w:cs="Times New Roman"/>
                <w:sz w:val="24"/>
                <w:szCs w:val="24"/>
                <w:lang w:val="ro-RO"/>
              </w:rPr>
            </w:pPr>
            <w:r w:rsidRPr="00A10509">
              <w:rPr>
                <w:rFonts w:ascii="Times New Roman" w:hAnsi="Times New Roman" w:cs="Times New Roman"/>
                <w:sz w:val="24"/>
                <w:szCs w:val="24"/>
                <w:lang w:val="ro-RO"/>
              </w:rPr>
              <w:t>Fundamental</w:t>
            </w:r>
            <w:r w:rsidR="002A722B" w:rsidRPr="00A10509">
              <w:rPr>
                <w:rFonts w:ascii="Times" w:hAnsi="Times"/>
                <w:sz w:val="24"/>
                <w:szCs w:val="24"/>
                <w:lang w:val="ro-RO"/>
              </w:rPr>
              <w:t>ă</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Titularul de curs</w:t>
            </w:r>
          </w:p>
        </w:tc>
        <w:tc>
          <w:tcPr>
            <w:tcW w:w="6940" w:type="dxa"/>
          </w:tcPr>
          <w:p w:rsidR="000B7EA4" w:rsidRPr="00A10509" w:rsidRDefault="0055200C"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Nellu Ciobanu</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 xml:space="preserve">Locația </w:t>
            </w:r>
          </w:p>
        </w:tc>
        <w:tc>
          <w:tcPr>
            <w:tcW w:w="6940" w:type="dxa"/>
          </w:tcPr>
          <w:p w:rsidR="00712DCD"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Blocul didactic nr. 1 „Leonid Cobâleanschi”,</w:t>
            </w:r>
          </w:p>
          <w:p w:rsidR="000B7EA4" w:rsidRPr="00A10509" w:rsidRDefault="00712DCD" w:rsidP="00712DCD">
            <w:pPr>
              <w:rPr>
                <w:rFonts w:ascii="Times New Roman" w:hAnsi="Times New Roman" w:cs="Times New Roman"/>
                <w:sz w:val="24"/>
                <w:szCs w:val="24"/>
                <w:lang w:val="ro-RO"/>
              </w:rPr>
            </w:pPr>
            <w:r w:rsidRPr="00A10509">
              <w:rPr>
                <w:rFonts w:ascii="Times New Roman" w:hAnsi="Times New Roman" w:cs="Times New Roman"/>
                <w:sz w:val="24"/>
                <w:szCs w:val="24"/>
                <w:lang w:val="ro-RO"/>
              </w:rPr>
              <w:t>str. Nicolae Testemițanu, 27</w:t>
            </w:r>
          </w:p>
        </w:tc>
      </w:tr>
      <w:tr w:rsidR="000B7EA4" w:rsidRPr="00A10509" w:rsidTr="000B7EA4">
        <w:tc>
          <w:tcPr>
            <w:tcW w:w="2405" w:type="dxa"/>
            <w:vMerge w:val="restart"/>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Condiționări și exigențe prealabile de:</w:t>
            </w:r>
          </w:p>
          <w:p w:rsidR="000B7EA4" w:rsidRPr="00A10509" w:rsidRDefault="000B7EA4" w:rsidP="00FA05A5">
            <w:pPr>
              <w:rPr>
                <w:rFonts w:ascii="Times New Roman" w:hAnsi="Times New Roman" w:cs="Times New Roman"/>
                <w:sz w:val="24"/>
                <w:szCs w:val="24"/>
                <w:lang w:val="ro-RO"/>
              </w:rPr>
            </w:pPr>
          </w:p>
        </w:tc>
        <w:tc>
          <w:tcPr>
            <w:tcW w:w="6940" w:type="dxa"/>
          </w:tcPr>
          <w:p w:rsidR="0055200C" w:rsidRPr="00A10509" w:rsidRDefault="000B7EA4" w:rsidP="0055200C">
            <w:pPr>
              <w:pStyle w:val="ListParagraph"/>
              <w:tabs>
                <w:tab w:val="left" w:pos="318"/>
              </w:tabs>
              <w:spacing w:line="276" w:lineRule="auto"/>
              <w:ind w:left="34"/>
              <w:rPr>
                <w:rFonts w:ascii="Times" w:hAnsi="Times" w:cs="Times New Roman"/>
                <w:iCs/>
                <w:sz w:val="24"/>
                <w:szCs w:val="24"/>
                <w:lang w:val="ro-RO"/>
              </w:rPr>
            </w:pPr>
            <w:r w:rsidRPr="00A10509">
              <w:rPr>
                <w:rFonts w:ascii="Times" w:hAnsi="Times" w:cs="Times New Roman"/>
                <w:iCs/>
                <w:sz w:val="24"/>
                <w:szCs w:val="24"/>
                <w:lang w:val="ro-RO"/>
              </w:rPr>
              <w:t xml:space="preserve">Program : cunoștințe de bază în </w:t>
            </w:r>
            <w:r w:rsidR="0055200C" w:rsidRPr="00A10509">
              <w:rPr>
                <w:rFonts w:ascii="Times" w:hAnsi="Times"/>
                <w:sz w:val="24"/>
                <w:szCs w:val="24"/>
                <w:lang w:val="ro-RO"/>
              </w:rPr>
              <w:t xml:space="preserve">științe precum: biologie, chimie, fizică, matematică, tehnologiilor informaționale (perfectarea documentelor cu ajutorul computerului, </w:t>
            </w:r>
            <w:bookmarkStart w:id="0" w:name="_GoBack"/>
            <w:bookmarkEnd w:id="0"/>
            <w:r w:rsidR="0055200C" w:rsidRPr="00A10509">
              <w:rPr>
                <w:rFonts w:ascii="Times" w:hAnsi="Times"/>
                <w:sz w:val="24"/>
                <w:szCs w:val="24"/>
                <w:lang w:val="ro-RO"/>
              </w:rPr>
              <w:t>utilizarea programelor de grafică</w:t>
            </w:r>
            <w:r w:rsidR="009D1756" w:rsidRPr="00A10509">
              <w:rPr>
                <w:rFonts w:ascii="Times" w:hAnsi="Times"/>
                <w:sz w:val="24"/>
                <w:szCs w:val="24"/>
                <w:lang w:val="ro-RO"/>
              </w:rPr>
              <w:t>)</w:t>
            </w:r>
            <w:r w:rsidR="0055200C" w:rsidRPr="00A10509">
              <w:rPr>
                <w:rFonts w:ascii="Times" w:hAnsi="Times"/>
                <w:sz w:val="24"/>
                <w:szCs w:val="24"/>
                <w:lang w:val="ro-RO"/>
              </w:rPr>
              <w:t>.</w:t>
            </w:r>
          </w:p>
        </w:tc>
      </w:tr>
      <w:tr w:rsidR="000B7EA4" w:rsidRPr="00A10509" w:rsidTr="000B7EA4">
        <w:tc>
          <w:tcPr>
            <w:tcW w:w="2405" w:type="dxa"/>
            <w:vMerge/>
          </w:tcPr>
          <w:p w:rsidR="000B7EA4" w:rsidRPr="00A10509" w:rsidRDefault="000B7EA4" w:rsidP="00FA05A5">
            <w:pPr>
              <w:rPr>
                <w:rFonts w:ascii="Times New Roman" w:hAnsi="Times New Roman" w:cs="Times New Roman"/>
                <w:sz w:val="24"/>
                <w:szCs w:val="24"/>
                <w:lang w:val="ro-RO"/>
              </w:rPr>
            </w:pPr>
          </w:p>
        </w:tc>
        <w:tc>
          <w:tcPr>
            <w:tcW w:w="6940" w:type="dxa"/>
          </w:tcPr>
          <w:p w:rsidR="000B7EA4" w:rsidRPr="00A10509" w:rsidRDefault="000B7EA4" w:rsidP="000B7EA4">
            <w:pPr>
              <w:rPr>
                <w:rFonts w:ascii="Times New Roman" w:hAnsi="Times New Roman" w:cs="Times New Roman"/>
                <w:sz w:val="24"/>
                <w:szCs w:val="24"/>
                <w:lang w:val="ro-RO"/>
              </w:rPr>
            </w:pPr>
            <w:r w:rsidRPr="00A10509">
              <w:rPr>
                <w:rFonts w:ascii="Times New Roman" w:hAnsi="Times New Roman" w:cs="Times New Roman"/>
                <w:iCs/>
                <w:sz w:val="24"/>
                <w:szCs w:val="24"/>
                <w:lang w:val="ro-RO"/>
              </w:rPr>
              <w:t>Competențe :  digitale elementare (utilizarea internetului, procesarea documentelor, utilizarea redactorilor de text, tabele electronice și aplicațiilor pentru prezentări), abilităților de comunicare în echipă.</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Misiunea disciplinei</w:t>
            </w:r>
          </w:p>
        </w:tc>
        <w:tc>
          <w:tcPr>
            <w:tcW w:w="6940" w:type="dxa"/>
          </w:tcPr>
          <w:p w:rsidR="009D1756" w:rsidRPr="00A10509" w:rsidRDefault="000B7EA4" w:rsidP="00A11793">
            <w:pPr>
              <w:jc w:val="both"/>
              <w:rPr>
                <w:rFonts w:ascii="Times" w:hAnsi="Times"/>
                <w:sz w:val="24"/>
                <w:szCs w:val="24"/>
                <w:lang w:val="ro-RO"/>
              </w:rPr>
            </w:pPr>
            <w:r w:rsidRPr="00A10509">
              <w:rPr>
                <w:rFonts w:ascii="Times" w:hAnsi="Times" w:cs="Times New Roman"/>
                <w:bCs/>
                <w:sz w:val="24"/>
                <w:szCs w:val="24"/>
                <w:lang w:val="ro-RO"/>
              </w:rPr>
              <w:t>Misiunea</w:t>
            </w:r>
            <w:r w:rsidRPr="00A10509">
              <w:rPr>
                <w:rFonts w:ascii="Times" w:hAnsi="Times" w:cs="Times New Roman"/>
                <w:b/>
                <w:bCs/>
                <w:sz w:val="24"/>
                <w:szCs w:val="24"/>
                <w:lang w:val="ro-RO"/>
              </w:rPr>
              <w:t xml:space="preserve"> </w:t>
            </w:r>
            <w:r w:rsidRPr="00A10509">
              <w:rPr>
                <w:rFonts w:ascii="Times" w:hAnsi="Times" w:cs="Times New Roman"/>
                <w:sz w:val="24"/>
                <w:szCs w:val="24"/>
                <w:lang w:val="ro-RO"/>
              </w:rPr>
              <w:t xml:space="preserve">acestui program de studii este </w:t>
            </w:r>
            <w:r w:rsidR="00A11793" w:rsidRPr="00A10509">
              <w:rPr>
                <w:rFonts w:ascii="Times" w:hAnsi="Times"/>
                <w:sz w:val="24"/>
                <w:szCs w:val="24"/>
                <w:lang w:val="ro-RO"/>
              </w:rPr>
              <w:t xml:space="preserve">formarea la studenții facultății de Medicină Generală a unui set de competențe necesare pentru însușirea cursurilor de specialitate. Unitățile de conținut ale cursului de Biofizica sunt structurate pentru a asigura formarea la studenți a competențelor în câteva direcții fundamentale:  </w:t>
            </w:r>
          </w:p>
          <w:p w:rsidR="009D1756" w:rsidRPr="00A10509" w:rsidRDefault="00A11793" w:rsidP="00A11793">
            <w:pPr>
              <w:jc w:val="both"/>
              <w:rPr>
                <w:rFonts w:ascii="Times" w:hAnsi="Times"/>
                <w:sz w:val="24"/>
                <w:szCs w:val="24"/>
                <w:lang w:val="ro-RO"/>
              </w:rPr>
            </w:pPr>
            <w:r w:rsidRPr="00A10509">
              <w:rPr>
                <w:rFonts w:ascii="Times" w:hAnsi="Times"/>
                <w:sz w:val="24"/>
                <w:szCs w:val="24"/>
                <w:lang w:val="ro-RO"/>
              </w:rPr>
              <w:t xml:space="preserve">a) competențe de analiză fizică a componenței, structurii și dezvoltării materiei vii; </w:t>
            </w:r>
          </w:p>
          <w:p w:rsidR="009D1756" w:rsidRPr="00A10509" w:rsidRDefault="00A11793" w:rsidP="00A11793">
            <w:pPr>
              <w:jc w:val="both"/>
              <w:rPr>
                <w:rFonts w:ascii="Times" w:hAnsi="Times"/>
                <w:sz w:val="24"/>
                <w:szCs w:val="24"/>
                <w:lang w:val="ro-RO"/>
              </w:rPr>
            </w:pPr>
            <w:r w:rsidRPr="00A10509">
              <w:rPr>
                <w:rFonts w:ascii="Times" w:hAnsi="Times"/>
                <w:sz w:val="24"/>
                <w:szCs w:val="24"/>
                <w:lang w:val="ro-RO"/>
              </w:rPr>
              <w:t xml:space="preserve">b) competențe de utilizare a metodelor fizice de explorare a structurilor biologice și a principiilor fizice de funcționare a aparatelor și utilajului folosit în medicină; </w:t>
            </w:r>
          </w:p>
          <w:p w:rsidR="00A11793" w:rsidRPr="00A10509" w:rsidRDefault="00A11793" w:rsidP="00A11793">
            <w:pPr>
              <w:jc w:val="both"/>
              <w:rPr>
                <w:rFonts w:ascii="Times" w:hAnsi="Times"/>
                <w:sz w:val="24"/>
                <w:szCs w:val="24"/>
                <w:lang w:val="ro-RO"/>
              </w:rPr>
            </w:pPr>
            <w:r w:rsidRPr="00A10509">
              <w:rPr>
                <w:rFonts w:ascii="Times" w:hAnsi="Times"/>
                <w:sz w:val="24"/>
                <w:szCs w:val="24"/>
                <w:lang w:val="ro-RO"/>
              </w:rPr>
              <w:t xml:space="preserve">c) competențe de analiză a influenței factorilor fizici (cum ar fi temperatura, radiațiile electromagnetice de diferit tip, componența și parametrii mediului ambiant) asupra sistemelor biologice. </w:t>
            </w:r>
          </w:p>
          <w:p w:rsidR="000B7EA4" w:rsidRPr="00A10509" w:rsidRDefault="000B7EA4" w:rsidP="000B7EA4">
            <w:pPr>
              <w:jc w:val="both"/>
              <w:rPr>
                <w:rFonts w:ascii="Times" w:hAnsi="Times" w:cs="Times New Roman"/>
                <w:iCs/>
                <w:sz w:val="24"/>
                <w:szCs w:val="24"/>
                <w:lang w:val="ro-RO"/>
              </w:rPr>
            </w:pP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Tematica prezentată</w:t>
            </w:r>
          </w:p>
          <w:p w:rsidR="000B7EA4" w:rsidRPr="00A10509" w:rsidRDefault="000B7EA4" w:rsidP="00FA05A5">
            <w:pPr>
              <w:rPr>
                <w:rFonts w:ascii="Times New Roman" w:hAnsi="Times New Roman" w:cs="Times New Roman"/>
                <w:sz w:val="24"/>
                <w:szCs w:val="24"/>
                <w:lang w:val="ro-RO"/>
              </w:rPr>
            </w:pPr>
          </w:p>
        </w:tc>
        <w:tc>
          <w:tcPr>
            <w:tcW w:w="6940" w:type="dxa"/>
          </w:tcPr>
          <w:p w:rsidR="000B7EA4" w:rsidRPr="00A10509" w:rsidRDefault="009B22F3" w:rsidP="000B7EA4">
            <w:pPr>
              <w:jc w:val="both"/>
              <w:rPr>
                <w:rFonts w:ascii="Times" w:hAnsi="Times" w:cs="Times New Roman"/>
                <w:sz w:val="24"/>
                <w:szCs w:val="24"/>
                <w:lang w:val="ro-RO"/>
              </w:rPr>
            </w:pPr>
            <w:r w:rsidRPr="00A10509">
              <w:rPr>
                <w:rFonts w:ascii="Times" w:hAnsi="Times"/>
                <w:sz w:val="24"/>
                <w:szCs w:val="24"/>
                <w:lang w:val="ro-RO"/>
              </w:rPr>
              <w:t>Biofizica moleculară. Forțele de legătură. Transformări de fază. Biofizica sistemelor disperse. Proprietățile electrice ale soluțiilor. Fenomene moleculare de transport. Difuzia prin membrane. Radianța electromagnetică. Interacțiunea fotonului cu substanța. Radianța termică. Legile lui Kirchhoff, Stefan-Boltzmann, Wien. Luminiscența. Fotoluminescența. Legea lui Stokes. Radiația X. Difracția razelor X. Radiografia, radioscopia. Proprietățile magnetice ale substanței. Rezonanța magnetică nucleară.</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Finalități de studiu</w:t>
            </w:r>
          </w:p>
          <w:p w:rsidR="000B7EA4" w:rsidRPr="00A10509" w:rsidRDefault="000B7EA4" w:rsidP="00FA05A5">
            <w:pPr>
              <w:rPr>
                <w:rFonts w:ascii="Times New Roman" w:hAnsi="Times New Roman" w:cs="Times New Roman"/>
                <w:sz w:val="24"/>
                <w:szCs w:val="24"/>
                <w:lang w:val="ro-RO"/>
              </w:rPr>
            </w:pPr>
          </w:p>
        </w:tc>
        <w:tc>
          <w:tcPr>
            <w:tcW w:w="6940" w:type="dxa"/>
          </w:tcPr>
          <w:p w:rsidR="009D1756"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hAnsi="Times"/>
                <w:sz w:val="24"/>
                <w:szCs w:val="24"/>
                <w:lang w:val="ro-RO"/>
              </w:rPr>
              <w:t>Cunoașterea, înțelegerea și utilizarea corectă a terminologiei disciplinei Biofizica.</w:t>
            </w:r>
          </w:p>
          <w:p w:rsidR="009D1756"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hAnsi="Times"/>
                <w:sz w:val="24"/>
                <w:szCs w:val="24"/>
                <w:lang w:val="ro-RO"/>
              </w:rPr>
              <w:t>Cunoașterea și înțelegere structurii</w:t>
            </w:r>
            <w:r w:rsidRPr="00A10509">
              <w:rPr>
                <w:rFonts w:ascii="Times" w:hAnsi="Times"/>
                <w:b/>
                <w:sz w:val="24"/>
                <w:szCs w:val="24"/>
                <w:lang w:val="ro-RO"/>
              </w:rPr>
              <w:t xml:space="preserve"> </w:t>
            </w:r>
            <w:r w:rsidRPr="00A10509">
              <w:rPr>
                <w:rFonts w:ascii="Times" w:hAnsi="Times"/>
                <w:sz w:val="24"/>
                <w:szCs w:val="24"/>
                <w:lang w:val="ro-RO"/>
              </w:rPr>
              <w:t>atomice</w:t>
            </w:r>
            <w:r w:rsidRPr="00A10509">
              <w:rPr>
                <w:rFonts w:ascii="Times" w:hAnsi="Times"/>
                <w:b/>
                <w:sz w:val="24"/>
                <w:szCs w:val="24"/>
                <w:lang w:val="ro-RO"/>
              </w:rPr>
              <w:t xml:space="preserve"> </w:t>
            </w:r>
            <w:r w:rsidRPr="00A10509">
              <w:rPr>
                <w:rFonts w:ascii="Times" w:hAnsi="Times"/>
                <w:sz w:val="24"/>
                <w:szCs w:val="24"/>
                <w:lang w:val="ro-RO"/>
              </w:rPr>
              <w:t xml:space="preserve">și moleculare a substanței și relația cu proprietățile fizico-chimice ale substanței. </w:t>
            </w:r>
          </w:p>
          <w:p w:rsidR="009D1756"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hAnsi="Times"/>
                <w:sz w:val="24"/>
                <w:szCs w:val="24"/>
                <w:lang w:val="ro-RO"/>
              </w:rPr>
              <w:t>Măsurarea și estimarea mărimilor fizice, care caracterizează proprietățile substanței.</w:t>
            </w:r>
          </w:p>
          <w:p w:rsidR="009D1756"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hAnsi="Times"/>
                <w:sz w:val="24"/>
                <w:szCs w:val="24"/>
                <w:lang w:val="ro-RO"/>
              </w:rPr>
              <w:t>Rezolvarea de probleme legate cu studiul sistemelor fizice care modelează sisteme biologice.</w:t>
            </w:r>
          </w:p>
          <w:p w:rsidR="009D1756"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eastAsia="Times New Roman" w:hAnsi="Times" w:cs="Times New Roman"/>
                <w:color w:val="000000"/>
                <w:sz w:val="24"/>
                <w:szCs w:val="24"/>
                <w:lang w:val="ro-RO"/>
              </w:rPr>
              <w:t>Analiza și compararea diferitor metode fizice de studiu a sistemelor biologice.</w:t>
            </w:r>
          </w:p>
          <w:p w:rsidR="000B7EA4" w:rsidRPr="00A10509" w:rsidRDefault="009D1756" w:rsidP="009D1756">
            <w:pPr>
              <w:numPr>
                <w:ilvl w:val="0"/>
                <w:numId w:val="6"/>
              </w:numPr>
              <w:spacing w:after="160" w:line="259" w:lineRule="auto"/>
              <w:ind w:left="176" w:right="157" w:hanging="142"/>
              <w:jc w:val="both"/>
              <w:rPr>
                <w:rFonts w:ascii="Times New Roman" w:hAnsi="Times New Roman" w:cs="Times New Roman"/>
                <w:sz w:val="24"/>
                <w:szCs w:val="24"/>
                <w:lang w:val="ro-RO"/>
              </w:rPr>
            </w:pPr>
            <w:r w:rsidRPr="00A10509">
              <w:rPr>
                <w:rFonts w:ascii="Times" w:eastAsia="Times New Roman" w:hAnsi="Times" w:cs="Times New Roman"/>
                <w:color w:val="000000"/>
                <w:sz w:val="24"/>
                <w:szCs w:val="24"/>
                <w:lang w:val="ro-RO"/>
              </w:rPr>
              <w:lastRenderedPageBreak/>
              <w:t>Efectuarea diverselor manopere practice legate cu studiul sistemelor fizice și biologice</w:t>
            </w:r>
          </w:p>
        </w:tc>
      </w:tr>
      <w:tr w:rsidR="000B7EA4" w:rsidRPr="00A10509" w:rsidTr="000B7EA4">
        <w:tc>
          <w:tcPr>
            <w:tcW w:w="2405" w:type="dxa"/>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lastRenderedPageBreak/>
              <w:t>Manopere practice achiziționate</w:t>
            </w:r>
          </w:p>
          <w:p w:rsidR="000B7EA4" w:rsidRPr="00A10509" w:rsidRDefault="000B7EA4" w:rsidP="00FA05A5">
            <w:pPr>
              <w:rPr>
                <w:rFonts w:ascii="Times New Roman" w:hAnsi="Times New Roman" w:cs="Times New Roman"/>
                <w:sz w:val="24"/>
                <w:szCs w:val="24"/>
                <w:lang w:val="ro-RO"/>
              </w:rPr>
            </w:pPr>
          </w:p>
        </w:tc>
        <w:tc>
          <w:tcPr>
            <w:tcW w:w="6940" w:type="dxa"/>
          </w:tcPr>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definească noțiunile de atom, vâscozitate, tensiune superficială, ultrasunet, osmoză și mobilitatea ionilor;</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cunoască unitățile de măsură în SI și în practica medicală pentru mărimile sus precizate;</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a cunoască fenomenul de disociere a apei, precum și proprietățile de bază a acesteia;</w:t>
            </w:r>
          </w:p>
          <w:p w:rsidR="00121148"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cunoască metodele de bază pentru determinarea coeficientul de viscozitate și de tensiune superficială;</w:t>
            </w:r>
          </w:p>
          <w:p w:rsidR="00121148"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poată explica motoda de determinare a  mobilității ionilor;</w:t>
            </w:r>
          </w:p>
          <w:p w:rsidR="000B7EA4"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aplice noțiunile noi în  practica medicală.</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definească noțiunile de spectre de emisie și absorbție, laser, impendanță, polarimetrie;</w:t>
            </w:r>
          </w:p>
          <w:p w:rsidR="00121148"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cunoască modurile de exprimare ale concentrației soluțiilor;</w:t>
            </w:r>
          </w:p>
          <w:p w:rsidR="00121148"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determine energia radiației laser;</w:t>
            </w:r>
          </w:p>
          <w:p w:rsidR="00121148" w:rsidRPr="00A10509" w:rsidRDefault="00121148"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să determine concentrația soluțiilor prin metoda polarimetrică și prin metoda fotocolorimetrică;</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definească noțiunile de sisteme de dispersie, radiație electromagnetică, radiație termică, luminiscență;</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cunoască tipurile de transport prin membrane;</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explice fenomenele de interacțiune ale radiațiilor electromagnetice cu materia și efectele ei;</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explice diferența dintre radiația X, tomografie computerizată și rezonanță magnetice;</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cunoască caracteristicile de bază ale radiației termice și legile acesteia;</w:t>
            </w:r>
          </w:p>
          <w:p w:rsidR="00121148" w:rsidRPr="00A10509" w:rsidRDefault="004839FF" w:rsidP="00121148">
            <w:pPr>
              <w:pStyle w:val="z1Char"/>
              <w:numPr>
                <w:ilvl w:val="0"/>
                <w:numId w:val="9"/>
              </w:numPr>
              <w:tabs>
                <w:tab w:val="left" w:pos="170"/>
              </w:tabs>
              <w:ind w:left="360"/>
              <w:rPr>
                <w:color w:val="auto"/>
                <w:spacing w:val="-4"/>
                <w:sz w:val="24"/>
                <w:szCs w:val="24"/>
                <w:lang w:val="ro-RO"/>
              </w:rPr>
            </w:pPr>
            <w:r w:rsidRPr="00A10509">
              <w:rPr>
                <w:color w:val="auto"/>
                <w:spacing w:val="-4"/>
                <w:sz w:val="24"/>
                <w:szCs w:val="24"/>
                <w:lang w:val="ro-RO"/>
              </w:rPr>
              <w:t>s</w:t>
            </w:r>
            <w:r w:rsidR="00121148" w:rsidRPr="00A10509">
              <w:rPr>
                <w:color w:val="auto"/>
                <w:spacing w:val="-4"/>
                <w:sz w:val="24"/>
                <w:szCs w:val="24"/>
                <w:lang w:val="ro-RO"/>
              </w:rPr>
              <w:t>ă cunoască principiul de funcționare a aparatului de rezonanță magnetică nucleară.</w:t>
            </w:r>
          </w:p>
        </w:tc>
      </w:tr>
      <w:tr w:rsidR="000B7EA4" w:rsidRPr="00A10509" w:rsidTr="000B7EA4">
        <w:tc>
          <w:tcPr>
            <w:tcW w:w="2405" w:type="dxa"/>
            <w:shd w:val="clear" w:color="auto" w:fill="DEEAF6" w:themeFill="accent1" w:themeFillTint="33"/>
          </w:tcPr>
          <w:p w:rsidR="000B7EA4" w:rsidRPr="00A10509" w:rsidRDefault="000B7EA4"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Forma de evaluare</w:t>
            </w:r>
          </w:p>
        </w:tc>
        <w:tc>
          <w:tcPr>
            <w:tcW w:w="6940" w:type="dxa"/>
          </w:tcPr>
          <w:p w:rsidR="000B7EA4" w:rsidRPr="00A10509" w:rsidRDefault="00D67F6D" w:rsidP="00FA05A5">
            <w:pPr>
              <w:rPr>
                <w:rFonts w:ascii="Times New Roman" w:hAnsi="Times New Roman" w:cs="Times New Roman"/>
                <w:sz w:val="24"/>
                <w:szCs w:val="24"/>
                <w:lang w:val="ro-RO"/>
              </w:rPr>
            </w:pPr>
            <w:r w:rsidRPr="00A10509">
              <w:rPr>
                <w:rFonts w:ascii="Times New Roman" w:hAnsi="Times New Roman" w:cs="Times New Roman"/>
                <w:sz w:val="24"/>
                <w:szCs w:val="24"/>
                <w:lang w:val="ro-RO"/>
              </w:rPr>
              <w:t>Examen</w:t>
            </w:r>
          </w:p>
        </w:tc>
      </w:tr>
    </w:tbl>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0B7EA4" w:rsidRPr="00A10509" w:rsidRDefault="000B7EA4">
      <w:pPr>
        <w:rPr>
          <w:rFonts w:ascii="Times New Roman" w:hAnsi="Times New Roman" w:cs="Times New Roman"/>
          <w:sz w:val="24"/>
          <w:szCs w:val="24"/>
          <w:lang w:val="ro-RO"/>
        </w:rPr>
      </w:pPr>
    </w:p>
    <w:p w:rsidR="00FF70A1" w:rsidRPr="00A10509" w:rsidRDefault="00FF70A1">
      <w:pPr>
        <w:rPr>
          <w:rFonts w:ascii="Times New Roman" w:hAnsi="Times New Roman" w:cs="Times New Roman"/>
          <w:sz w:val="24"/>
          <w:szCs w:val="24"/>
          <w:lang w:val="ro-RO"/>
        </w:rPr>
      </w:pPr>
    </w:p>
    <w:sectPr w:rsidR="00FF70A1" w:rsidRPr="00A10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A06"/>
    <w:multiLevelType w:val="hybridMultilevel"/>
    <w:tmpl w:val="7138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40D6D"/>
    <w:multiLevelType w:val="hybridMultilevel"/>
    <w:tmpl w:val="6A52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5">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7">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A8764A"/>
    <w:multiLevelType w:val="hybridMultilevel"/>
    <w:tmpl w:val="6BF8848E"/>
    <w:lvl w:ilvl="0" w:tplc="85D02030">
      <w:start w:val="1"/>
      <w:numFmt w:val="bullet"/>
      <w:lvlText w:val=""/>
      <w:lvlJc w:val="left"/>
      <w:pPr>
        <w:ind w:left="1494"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11">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6"/>
  </w:num>
  <w:num w:numId="4">
    <w:abstractNumId w:val="8"/>
  </w:num>
  <w:num w:numId="5">
    <w:abstractNumId w:val="1"/>
  </w:num>
  <w:num w:numId="6">
    <w:abstractNumId w:val="10"/>
  </w:num>
  <w:num w:numId="7">
    <w:abstractNumId w:val="3"/>
  </w:num>
  <w:num w:numId="8">
    <w:abstractNumId w:val="0"/>
  </w:num>
  <w:num w:numId="9">
    <w:abstractNumId w:val="9"/>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B0"/>
    <w:rsid w:val="00045990"/>
    <w:rsid w:val="00086B9E"/>
    <w:rsid w:val="0009359B"/>
    <w:rsid w:val="000B7EA4"/>
    <w:rsid w:val="00121148"/>
    <w:rsid w:val="001B7667"/>
    <w:rsid w:val="002A722B"/>
    <w:rsid w:val="00347E2D"/>
    <w:rsid w:val="004710AD"/>
    <w:rsid w:val="004839FF"/>
    <w:rsid w:val="0055200C"/>
    <w:rsid w:val="006B7BBE"/>
    <w:rsid w:val="007041C3"/>
    <w:rsid w:val="00712DCD"/>
    <w:rsid w:val="007939FF"/>
    <w:rsid w:val="007C6698"/>
    <w:rsid w:val="007D18F2"/>
    <w:rsid w:val="00893506"/>
    <w:rsid w:val="009B22F3"/>
    <w:rsid w:val="009D1756"/>
    <w:rsid w:val="00A10509"/>
    <w:rsid w:val="00A11793"/>
    <w:rsid w:val="00B05ED5"/>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BBE"/>
    <w:pPr>
      <w:ind w:left="720"/>
      <w:contextualSpacing/>
    </w:pPr>
  </w:style>
  <w:style w:type="paragraph" w:styleId="BalloonText">
    <w:name w:val="Balloon Text"/>
    <w:basedOn w:val="Normal"/>
    <w:link w:val="BalloonTextChar"/>
    <w:uiPriority w:val="99"/>
    <w:semiHidden/>
    <w:unhideWhenUsed/>
    <w:rsid w:val="0008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9E"/>
    <w:rPr>
      <w:rFonts w:ascii="Segoe UI" w:hAnsi="Segoe UI" w:cs="Segoe UI"/>
      <w:sz w:val="18"/>
      <w:szCs w:val="18"/>
    </w:rPr>
  </w:style>
  <w:style w:type="paragraph" w:customStyle="1" w:styleId="a">
    <w:name w:val="Содержимое таблицы"/>
    <w:basedOn w:val="Normal"/>
    <w:rsid w:val="009D1756"/>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paragraph" w:customStyle="1" w:styleId="z1Char">
    <w:name w:val="z1 Char"/>
    <w:basedOn w:val="Normal"/>
    <w:semiHidden/>
    <w:rsid w:val="00121148"/>
    <w:pPr>
      <w:tabs>
        <w:tab w:val="num" w:pos="227"/>
      </w:tabs>
      <w:spacing w:after="0" w:line="240" w:lineRule="auto"/>
      <w:ind w:left="227" w:hanging="227"/>
      <w:jc w:val="both"/>
    </w:pPr>
    <w:rPr>
      <w:rFonts w:ascii="Times New Roman" w:eastAsia="Times New Roman" w:hAnsi="Times New Roman" w:cs="Times New Roman"/>
      <w:color w:val="000000"/>
      <w:lang w:val="ru-RU" w:eastAsia="ru-RU"/>
    </w:rPr>
  </w:style>
  <w:style w:type="paragraph" w:styleId="Title">
    <w:name w:val="Title"/>
    <w:basedOn w:val="Normal"/>
    <w:link w:val="TitleChar"/>
    <w:qFormat/>
    <w:rsid w:val="00121148"/>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121148"/>
    <w:rPr>
      <w:rFonts w:ascii="Times New Roman" w:eastAsia="Times New Roman" w:hAnsi="Times New Roman" w:cs="Times New Roman"/>
      <w:b/>
      <w:bCs/>
      <w:i/>
      <w:iCs/>
      <w:sz w:val="32"/>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74434549">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591</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4</cp:revision>
  <cp:lastPrinted>2021-04-05T12:21:00Z</cp:lastPrinted>
  <dcterms:created xsi:type="dcterms:W3CDTF">2021-09-05T18:39:00Z</dcterms:created>
  <dcterms:modified xsi:type="dcterms:W3CDTF">2021-09-05T19:11:00Z</dcterms:modified>
</cp:coreProperties>
</file>